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26000D" w:rsidRPr="008A7E71" w:rsidP="001A7A5C">
      <w:pPr>
        <w:pStyle w:val="MainTitle"/>
        <w:spacing w:line="204" w:lineRule="auto"/>
      </w:pPr>
      <w:r w:rsidR="0003363E">
        <w:drawing>
          <wp:anchor simplePos="0" relativeHeight="251658240" behindDoc="0" locked="1" layoutInCell="1" allowOverlap="1">
            <wp:simplePos x="0" y="0"/>
            <wp:positionH relativeFrom="margin">
              <wp:posOffset>5080000</wp:posOffset>
            </wp:positionH>
            <wp:positionV relativeFrom="margin">
              <wp:posOffset>5969000</wp:posOffset>
            </wp:positionV>
            <wp:extent cx="1097282" cy="746761"/>
            <wp:wrapNone/>
            <wp:docPr id="100033"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39225" name=""/>
                    <pic:cNvPicPr>
                      <a:picLocks noChangeAspect="1"/>
                    </pic:cNvPicPr>
                  </pic:nvPicPr>
                  <pic:blipFill>
                    <a:blip xmlns:r="http://schemas.openxmlformats.org/officeDocument/2006/relationships" r:embed="rId4"/>
                    <a:stretch>
                      <a:fillRect/>
                    </a:stretch>
                  </pic:blipFill>
                  <pic:spPr>
                    <a:xfrm>
                      <a:off x="0" y="0"/>
                      <a:ext cx="1097282" cy="746761"/>
                    </a:xfrm>
                    <a:prstGeom prst="rect">
                      <a:avLst/>
                    </a:prstGeom>
                  </pic:spPr>
                </pic:pic>
              </a:graphicData>
            </a:graphic>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-449580</wp:posOffset>
                </wp:positionH>
                <wp:positionV relativeFrom="page">
                  <wp:posOffset>2499360</wp:posOffset>
                </wp:positionV>
                <wp:extent cx="7772400" cy="3084195"/>
                <wp:effectExtent l="0" t="0" r="0" b="1905"/>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3084195"/>
                          <a:chOff x="0" y="0"/>
                          <a:chExt cx="7772400" cy="3084195"/>
                        </a:xfrm>
                      </wpg:grpSpPr>
                      <wpg:grpSp>
                        <wpg:cNvPr id="15" name="Group 15"/>
                        <wpg:cNvGrpSpPr/>
                        <wpg:grpSpPr>
                          <a:xfrm>
                            <a:off x="0" y="0"/>
                            <a:ext cx="7772400" cy="637607"/>
                            <a:chOff x="0" y="0"/>
                            <a:chExt cx="7772400" cy="637607"/>
                          </a:xfrm>
                        </wpg:grpSpPr>
                        <pic:pic xmlns:pic="http://schemas.openxmlformats.org/drawingml/2006/picture">
                          <pic:nvPicPr>
                            <pic:cNvPr id="3" name="Picture 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2473"/>
                              <a:ext cx="7772400" cy="635134"/>
                            </a:xfrm>
                            <a:prstGeom prst="rect">
                              <a:avLst/>
                            </a:prstGeom>
                          </pic:spPr>
                        </pic:pic>
                        <wps:wsp xmlns:wps="http://schemas.microsoft.com/office/word/2010/wordprocessingShape">
                          <wps:cNvPr id="13" name="Text Box 2"/>
                          <wps:cNvSpPr txBox="1">
                            <a:spLocks noChangeArrowheads="1"/>
                          </wps:cNvSpPr>
                          <wps:spPr bwMode="auto">
                            <a:xfrm>
                              <a:off x="5318760" y="0"/>
                              <a:ext cx="2293620" cy="342861"/>
                            </a:xfrm>
                            <a:prstGeom prst="rect">
                              <a:avLst/>
                            </a:prstGeom>
                            <a:noFill/>
                            <a:ln w="9525">
                              <a:noFill/>
                              <a:miter lim="800000"/>
                              <a:headEnd/>
                              <a:tailEnd/>
                            </a:ln>
                          </wps:spPr>
                          <wps:txbx>
                            <w:txbxContent>
                              <w:p w:rsidR="008864AB" w:rsidRPr="008864AB" w:rsidP="008864AB">
                                <w:pPr>
                                  <w:pStyle w:val="SubHeader"/>
                                  <w:rPr>
                                    <w:color w:val="FFFFFF" w:themeColor="background1"/>
                                  </w:rPr>
                                </w:pPr>
                                <w:r>
                                  <w:rPr>
                                    <w:color w:val="FFFFFF" w:themeColor="background1"/>
                                  </w:rPr>
                                  <w:t>Highlights</w:t>
                                </w:r>
                              </w:p>
                            </w:txbxContent>
                          </wps:txbx>
                          <wps:bodyPr rot="0" vert="horz" wrap="square" anchor="ctr" anchorCtr="0"/>
                        </wps:wsp>
                      </wpg:grpSp>
                      <wps:wsp xmlns:wps="http://schemas.microsoft.com/office/word/2010/wordprocessingShape">
                        <wps:cNvPr id="217" name="Text Box 2"/>
                        <wps:cNvSpPr txBox="1">
                          <a:spLocks noChangeArrowheads="1"/>
                        </wps:cNvSpPr>
                        <wps:spPr bwMode="auto">
                          <a:xfrm>
                            <a:off x="5288280" y="373380"/>
                            <a:ext cx="2301240" cy="2710815"/>
                          </a:xfrm>
                          <a:prstGeom prst="rect">
                            <a:avLst/>
                          </a:prstGeom>
                          <a:noFill/>
                          <a:ln w="9525">
                            <a:noFill/>
                            <a:miter lim="800000"/>
                            <a:headEnd/>
                            <a:tailEnd/>
                          </a:ln>
                        </wps:spPr>
                        <wps:txbx>
                          <w:txbxContent>
                            <w:p w:rsidR="0024208C" w:rsidP="00EB4C69">
                              <w:pPr>
                                <w:pStyle w:val="BodyText"/>
                              </w:pPr>
                              <w:r>
                                <w:t xml:space="preserve">A final rule extends the timeframes for health plan participants to: </w:t>
                              </w:r>
                            </w:p>
                            <w:p w:rsidR="00EB4C69" w:rsidP="00EB4C69">
                              <w:pPr>
                                <w:pStyle w:val="Bullet"/>
                                <w:spacing w:after="120"/>
                                <w:ind w:left="360" w:hanging="274"/>
                              </w:pPr>
                              <w:r>
                                <w:t xml:space="preserve">Request special enrollment under HIPAA; </w:t>
                              </w:r>
                            </w:p>
                            <w:p w:rsidR="00EB4C69" w:rsidP="00EB4C69">
                              <w:pPr>
                                <w:pStyle w:val="Bullet"/>
                                <w:spacing w:after="120"/>
                                <w:ind w:left="360" w:hanging="274"/>
                              </w:pPr>
                              <w:r>
                                <w:t>Elect COBRA continuation coverage, pay COBRA premiums and notify the plan of a COBRA qualifying event; and</w:t>
                              </w:r>
                            </w:p>
                            <w:p w:rsidR="00EB4C69" w:rsidRPr="00D2167C" w:rsidP="00EB4C69">
                              <w:pPr>
                                <w:pStyle w:val="Bullet"/>
                                <w:spacing w:after="120"/>
                                <w:ind w:left="360" w:hanging="274"/>
                              </w:pPr>
                              <w:r>
                                <w:t xml:space="preserve">File benefit claims and appeals and request external review of denied claims. </w:t>
                              </w:r>
                            </w:p>
                          </w:txbxContent>
                        </wps:txbx>
                        <wps:bodyPr rot="0" vert="horz" wrap="square" anchor="t" anchorCtr="0"/>
                      </wps:wsp>
                    </wpg:wgp>
                  </a:graphicData>
                </a:graphic>
                <wp14:sizeRelV relativeFrom="margin">
                  <wp14:pctHeight>0</wp14:pctHeight>
                </wp14:sizeRelV>
              </wp:anchor>
            </w:drawing>
          </mc:Choice>
          <mc:Fallback>
            <w:pict>
              <v:group id="Group 16" o:spid="_x0000_s1025" style="width:612pt;height:242.85pt;margin-top:196.8pt;margin-left:-35.4pt;mso-height-relative:margin;mso-position-vertical-relative:page;position:absolute;z-index:-251656192" coordsize="77724,30841">
                <v:group id="Group 15" o:spid="_x0000_s1026" style="width:77724;height:6376;position:absolute" coordsize="77724,6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width:77724;height:6352;mso-wrap-style:square;position:absolute;top:24;visibility:visible">
                    <v:imagedata r:id="rId5" o:title=""/>
                  </v:shape>
                  <v:shapetype id="_x0000_t202" coordsize="21600,21600" o:spt="202" path="m,l,21600r21600,l21600,xe">
                    <v:stroke joinstyle="miter"/>
                    <v:path gradientshapeok="t" o:connecttype="rect"/>
                  </v:shapetype>
                  <v:shape id="_x0000_s1028" type="#_x0000_t202" style="width:22936;height:3428;left:53187;mso-wrap-style:square;position:absolute;visibility:visible;v-text-anchor:middle" filled="f" stroked="f">
                    <v:textbox>
                      <w:txbxContent>
                        <w:p w:rsidR="008864AB" w:rsidRPr="008864AB" w:rsidP="008864AB">
                          <w:pPr>
                            <w:pStyle w:val="SubHeader"/>
                            <w:rPr>
                              <w:color w:val="FFFFFF" w:themeColor="background1"/>
                            </w:rPr>
                          </w:pPr>
                          <w:r>
                            <w:rPr>
                              <w:color w:val="FFFFFF" w:themeColor="background1"/>
                            </w:rPr>
                            <w:t>Highlights</w:t>
                          </w:r>
                        </w:p>
                      </w:txbxContent>
                    </v:textbox>
                  </v:shape>
                </v:group>
                <v:shape id="_x0000_s1029" type="#_x0000_t202" style="width:23013;height:27108;left:52882;mso-wrap-style:square;position:absolute;top:3733;visibility:visible;v-text-anchor:top" filled="f" stroked="f">
                  <v:textbox>
                    <w:txbxContent>
                      <w:p w:rsidR="0024208C" w:rsidP="00EB4C69">
                        <w:pPr>
                          <w:pStyle w:val="BodyText"/>
                        </w:pPr>
                        <w:r>
                          <w:t xml:space="preserve">A final rule extends the timeframes for health plan participants to: </w:t>
                        </w:r>
                      </w:p>
                      <w:p w:rsidR="00EB4C69" w:rsidP="00EB4C69">
                        <w:pPr>
                          <w:pStyle w:val="Bullet"/>
                          <w:spacing w:after="120"/>
                          <w:ind w:left="360" w:hanging="274"/>
                        </w:pPr>
                        <w:r>
                          <w:t xml:space="preserve">Request special enrollment under HIPAA; </w:t>
                        </w:r>
                      </w:p>
                      <w:p w:rsidR="00EB4C69" w:rsidP="00EB4C69">
                        <w:pPr>
                          <w:pStyle w:val="Bullet"/>
                          <w:spacing w:after="120"/>
                          <w:ind w:left="360" w:hanging="274"/>
                        </w:pPr>
                        <w:r>
                          <w:t>Elect COBRA continuation coverage, pay COBRA premiums and notify the plan of a COBRA qualifying event; and</w:t>
                        </w:r>
                      </w:p>
                      <w:p w:rsidR="00EB4C69" w:rsidRPr="00D2167C" w:rsidP="00EB4C69">
                        <w:pPr>
                          <w:pStyle w:val="Bullet"/>
                          <w:spacing w:after="120"/>
                          <w:ind w:left="360" w:hanging="274"/>
                        </w:pPr>
                        <w:r>
                          <w:t xml:space="preserve">File benefit claims and appeals and request external review of denied claims. </w:t>
                        </w:r>
                      </w:p>
                    </w:txbxContent>
                  </v:textbox>
                </v:shape>
              </v:group>
            </w:pict>
          </mc:Fallback>
        </mc:AlternateContent>
      </w:r>
      <w:r w:rsidR="0003363E">
        <w:t>Federal Agencies Issue COVID-19 Relief for Employee Benefit Plans</w:t>
      </w:r>
    </w:p>
    <w:p w:rsidR="00BB2751" w:rsidP="001A7A5C">
      <w:pPr>
        <w:pStyle w:val="BodyText"/>
        <w:spacing w:after="120"/>
      </w:pPr>
      <w:r>
        <w:t>On April 28, 2020, t</w:t>
      </w:r>
      <w:r w:rsidRPr="008A7E71" w:rsidR="008A7E71">
        <w:t xml:space="preserve">he </w:t>
      </w:r>
      <w:r>
        <w:t xml:space="preserve">Departments of Labor </w:t>
      </w:r>
      <w:r>
        <w:t xml:space="preserve">(DOL) </w:t>
      </w:r>
      <w:r>
        <w:t xml:space="preserve">and the Treasury </w:t>
      </w:r>
      <w:r>
        <w:t xml:space="preserve">(Departments) </w:t>
      </w:r>
      <w:r>
        <w:t>issued deadline relief to help employee benefit plans, plan participant</w:t>
      </w:r>
      <w:r>
        <w:t>s and plan service providers impacted by the COVID-19 outbreak.</w:t>
      </w:r>
    </w:p>
    <w:p w:rsidR="001963A5" w:rsidRPr="001963A5" w:rsidP="001A7A5C">
      <w:pPr>
        <w:pStyle w:val="BodyText"/>
        <w:spacing w:after="0"/>
        <w:rPr>
          <w:b/>
          <w:sz w:val="28"/>
          <w:szCs w:val="28"/>
        </w:rPr>
      </w:pPr>
      <w:r w:rsidRPr="001963A5">
        <w:rPr>
          <w:b/>
          <w:sz w:val="28"/>
          <w:szCs w:val="28"/>
        </w:rPr>
        <w:t xml:space="preserve">Extension </w:t>
      </w:r>
      <w:r>
        <w:rPr>
          <w:b/>
          <w:sz w:val="28"/>
          <w:szCs w:val="28"/>
        </w:rPr>
        <w:t>of</w:t>
      </w:r>
      <w:r w:rsidRPr="001963A5">
        <w:rPr>
          <w:b/>
          <w:sz w:val="28"/>
          <w:szCs w:val="28"/>
        </w:rPr>
        <w:t xml:space="preserve"> Participant Timeframes</w:t>
      </w:r>
    </w:p>
    <w:p w:rsidR="001B41D5" w:rsidP="001A7A5C">
      <w:pPr>
        <w:pStyle w:val="BodyText"/>
        <w:spacing w:after="120"/>
      </w:pPr>
      <w:r>
        <w:t xml:space="preserve">The Departments issued a </w:t>
      </w:r>
      <w:r>
        <w:fldChar w:fldCharType="begin"/>
      </w:r>
      <w:r>
        <w:instrText xml:space="preserve"> HYPERLINK "https://www.federalregister.gov/documents/2020/05/04/2020-09399/extension-of-certain-timeframes-for-employee-benefit-plans-participants-and-beneficiaries-affected" </w:instrText>
      </w:r>
      <w:r>
        <w:fldChar w:fldCharType="separate"/>
      </w:r>
      <w:r w:rsidRPr="001A7A5C">
        <w:rPr>
          <w:rStyle w:val="Hyperlink"/>
        </w:rPr>
        <w:t>final r</w:t>
      </w:r>
      <w:r w:rsidRPr="001A7A5C">
        <w:rPr>
          <w:rStyle w:val="Hyperlink"/>
        </w:rPr>
        <w:t>u</w:t>
      </w:r>
      <w:r w:rsidRPr="001A7A5C">
        <w:rPr>
          <w:rStyle w:val="Hyperlink"/>
        </w:rPr>
        <w:t>le</w:t>
      </w:r>
      <w:r>
        <w:fldChar w:fldCharType="end"/>
      </w:r>
      <w:r>
        <w:t xml:space="preserve"> to </w:t>
      </w:r>
      <w:r>
        <w:t xml:space="preserve">provide plan participants with </w:t>
      </w:r>
      <w:r w:rsidRPr="001B41D5">
        <w:t xml:space="preserve">additional time to comply with certain deadlines affecting COBRA continuation coverage, special enrollment periods, claims for benefits, appeals of denied claims and external review of certain claims. With regard to disability, retirement and other plans, the </w:t>
      </w:r>
      <w:r>
        <w:t>final rule</w:t>
      </w:r>
      <w:r w:rsidRPr="001B41D5">
        <w:t xml:space="preserve"> provides additional time for participants and beneficiaries to make claims for benefits and appeal denied claims.</w:t>
      </w:r>
    </w:p>
    <w:p w:rsidR="001B41D5" w:rsidP="001A7A5C">
      <w:pPr>
        <w:pStyle w:val="BodyText"/>
        <w:spacing w:after="120"/>
      </w:pPr>
      <w:r>
        <w:t>According to the Departments, w</w:t>
      </w:r>
      <w:r w:rsidRPr="001B41D5">
        <w:t>ithout the extension, individuals might miss key deadlines during the COVID-19 outbreak that could result in the loss or lapse of group health coverage or the denial of a valid claim for benefits.</w:t>
      </w:r>
    </w:p>
    <w:p w:rsidR="00BB2751" w:rsidRPr="00BB2751" w:rsidP="00BB2751">
      <w:pPr>
        <w:pStyle w:val="BodyText"/>
        <w:spacing w:after="0"/>
        <w:rPr>
          <w:b/>
          <w:sz w:val="28"/>
          <w:szCs w:val="28"/>
        </w:rPr>
      </w:pPr>
      <w:r w:rsidRPr="00BB2751">
        <w:rPr>
          <w:b/>
          <w:sz w:val="28"/>
          <w:szCs w:val="28"/>
        </w:rPr>
        <w:t>Deadline Extension for ERISA Notices and Disclosures</w:t>
      </w:r>
    </w:p>
    <w:p w:rsidR="001B41D5" w:rsidP="008A7E71">
      <w:pPr>
        <w:pStyle w:val="BodyText"/>
      </w:pPr>
      <w:r>
        <w:t xml:space="preserve">The DOL issued </w:t>
      </w:r>
      <w:r>
        <w:fldChar w:fldCharType="begin"/>
      </w:r>
      <w:r>
        <w:instrText xml:space="preserve"> HYPERLINK "https://www.dol.gov/agencies/ebsa/employers-and-advisers/plan-administration-and-compliance/disaster-relief/ebsa-disaster-relief-notice-2020-01" </w:instrText>
      </w:r>
      <w:r>
        <w:fldChar w:fldCharType="separate"/>
      </w:r>
      <w:r w:rsidRPr="00BB2751">
        <w:rPr>
          <w:rStyle w:val="Hyperlink"/>
        </w:rPr>
        <w:t>Disaster R</w:t>
      </w:r>
      <w:r w:rsidRPr="00BB2751">
        <w:rPr>
          <w:rStyle w:val="Hyperlink"/>
        </w:rPr>
        <w:t>e</w:t>
      </w:r>
      <w:r w:rsidRPr="00BB2751">
        <w:rPr>
          <w:rStyle w:val="Hyperlink"/>
        </w:rPr>
        <w:t>lief Notice 2020-01</w:t>
      </w:r>
      <w:r>
        <w:fldChar w:fldCharType="end"/>
      </w:r>
      <w:r>
        <w:t xml:space="preserve"> to extend the time for plan officials to furnish benefit statements, annual funding notices, and other notices and disclosures required under ERISA </w:t>
      </w:r>
      <w:r w:rsidR="001A7A5C">
        <w:t xml:space="preserve">if </w:t>
      </w:r>
      <w:r>
        <w:t xml:space="preserve">they make a good faith effort to provide the documents as soon as </w:t>
      </w:r>
      <w:r w:rsidRPr="001A7A5C">
        <w:rPr>
          <w:b/>
        </w:rPr>
        <w:t>administratively practicable</w:t>
      </w:r>
      <w:r>
        <w:t>.</w:t>
      </w:r>
      <w:r>
        <w:t xml:space="preserve"> The notice explains that g</w:t>
      </w:r>
      <w:r w:rsidRPr="001B41D5">
        <w:t xml:space="preserve">ood faith acts include use of </w:t>
      </w:r>
      <w:r w:rsidRPr="001B41D5">
        <w:rPr>
          <w:b/>
        </w:rPr>
        <w:t xml:space="preserve">electronic means of communicating </w:t>
      </w:r>
      <w:r w:rsidRPr="001B41D5">
        <w:t xml:space="preserve">with plan participants who the plan </w:t>
      </w:r>
      <w:r>
        <w:t>sponsor</w:t>
      </w:r>
      <w:r w:rsidRPr="001B41D5">
        <w:t xml:space="preserve"> reasonably believes have effective access to electronic means of communication, including email, text messages and continuous access websites.</w:t>
      </w:r>
    </w:p>
    <w:p w:rsidR="008A7E71" w:rsidRPr="004967FA" w:rsidP="004967FA">
      <w:pPr>
        <w:pStyle w:val="BodyText"/>
      </w:pPr>
      <w:r>
        <w:t>The DOL</w:t>
      </w:r>
      <w:r w:rsidRPr="00BB2751" w:rsidR="00BB2751">
        <w:t xml:space="preserve"> also issued a set of </w:t>
      </w:r>
      <w:r>
        <w:fldChar w:fldCharType="begin"/>
      </w:r>
      <w:r>
        <w:instrText xml:space="preserve"> HYPERLINK "https://www.dol.gov/sites/dolgov/files/EBSA/about-ebsa/our-activities/resource-center/faqs/covid-19.pdf" </w:instrText>
      </w:r>
      <w:r>
        <w:fldChar w:fldCharType="separate"/>
      </w:r>
      <w:r w:rsidRPr="00BB2751" w:rsidR="00BB2751">
        <w:rPr>
          <w:rStyle w:val="Hyperlink"/>
        </w:rPr>
        <w:t>Frequently As</w:t>
      </w:r>
      <w:bookmarkStart w:id="0" w:name="_GoBack"/>
      <w:bookmarkEnd w:id="0"/>
      <w:r w:rsidRPr="00BB2751" w:rsidR="00BB2751">
        <w:rPr>
          <w:rStyle w:val="Hyperlink"/>
        </w:rPr>
        <w:t>k</w:t>
      </w:r>
      <w:r w:rsidRPr="00BB2751" w:rsidR="00BB2751">
        <w:rPr>
          <w:rStyle w:val="Hyperlink"/>
        </w:rPr>
        <w:t>ed Questions</w:t>
      </w:r>
      <w:r>
        <w:fldChar w:fldCharType="end"/>
      </w:r>
      <w:r w:rsidRPr="00BB2751" w:rsidR="00BB2751">
        <w:t xml:space="preserve"> (FAQs) to help </w:t>
      </w:r>
      <w:r w:rsidR="001B41D5">
        <w:t>p</w:t>
      </w:r>
      <w:r w:rsidRPr="00BB2751" w:rsidR="00BB2751">
        <w:t xml:space="preserve">lan participants and employers impacted by the </w:t>
      </w:r>
      <w:r w:rsidR="001A7A5C">
        <w:t>COVID-19</w:t>
      </w:r>
      <w:r w:rsidRPr="00BB2751" w:rsidR="00BB2751">
        <w:t xml:space="preserve"> outbreak understand their rights and responsibilities under ERISA.</w:t>
      </w:r>
      <w:r w:rsidR="0022430C">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5614416</wp:posOffset>
                </wp:positionV>
                <wp:extent cx="7771765" cy="2522855"/>
                <wp:effectExtent l="0" t="0" r="635"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1765" cy="2522855"/>
                          <a:chOff x="0" y="0"/>
                          <a:chExt cx="7771765" cy="2523226"/>
                        </a:xfrm>
                      </wpg:grpSpPr>
                      <pic:pic xmlns:pic="http://schemas.openxmlformats.org/drawingml/2006/picture">
                        <pic:nvPicPr>
                          <pic:cNvPr id="5" name="Picture 5"/>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7771765" cy="629920"/>
                          </a:xfrm>
                          <a:prstGeom prst="rect">
                            <a:avLst/>
                          </a:prstGeom>
                        </pic:spPr>
                      </pic:pic>
                      <wps:wsp xmlns:wps="http://schemas.microsoft.com/office/word/2010/wordprocessingShape">
                        <wps:cNvPr id="10" name="Text Box 2"/>
                        <wps:cNvSpPr txBox="1">
                          <a:spLocks noChangeArrowheads="1"/>
                        </wps:cNvSpPr>
                        <wps:spPr bwMode="auto">
                          <a:xfrm>
                            <a:off x="5318760" y="68580"/>
                            <a:ext cx="2293620" cy="2454646"/>
                          </a:xfrm>
                          <a:prstGeom prst="rect">
                            <a:avLst/>
                          </a:prstGeom>
                          <a:noFill/>
                          <a:ln w="9525">
                            <a:noFill/>
                            <a:miter lim="800000"/>
                            <a:headEnd/>
                            <a:tailEnd/>
                          </a:ln>
                        </wps:spPr>
                        <wps:txbx>
                          <w:txbxContent>
                            <w:p w:rsidR="00A47C53" w:rsidRPr="00A47C53" w:rsidP="00CF5E21">
                              <w:pPr>
                                <w:pStyle w:val="CallOutBox"/>
                              </w:pPr>
                              <w:r>
                                <w:t>This deadline relief begins on March 1, 2020, and goes until 60 days after the end of the COVID-19 National Emergency</w:t>
                              </w:r>
                              <w:r w:rsidRPr="00A47C53">
                                <w:t xml:space="preserve">. </w:t>
                              </w:r>
                            </w:p>
                          </w:txbxContent>
                        </wps:txbx>
                        <wps:bodyPr rot="0" vert="horz" wrap="square" anchor="ctr" anchorCtr="0"/>
                      </wps:wsp>
                    </wpg:wgp>
                  </a:graphicData>
                </a:graphic>
              </wp:anchor>
            </w:drawing>
          </mc:Choice>
          <mc:Fallback>
            <w:pict>
              <v:group id="Group 11" o:spid="_x0000_s1030" style="width:611.95pt;height:198.65pt;margin-top:442.1pt;margin-left:0;mso-position-horizontal-relative:page;mso-position-vertical-relative:page;position:absolute;z-index:-251654144" coordsize="77717,25232">
                <v:shape id="Picture 5" o:spid="_x0000_s1031" type="#_x0000_t75" style="width:77717;height:6299;mso-wrap-style:square;position:absolute;visibility:visible">
                  <v:imagedata r:id="rId6" o:title=""/>
                </v:shape>
                <v:shape id="_x0000_s1032" type="#_x0000_t202" style="width:22936;height:24547;left:53187;mso-wrap-style:square;position:absolute;top:685;visibility:visible;v-text-anchor:middle" filled="f" stroked="f">
                  <v:textbox>
                    <w:txbxContent>
                      <w:p w:rsidR="00A47C53" w:rsidRPr="00A47C53" w:rsidP="00CF5E21">
                        <w:pPr>
                          <w:pStyle w:val="CallOutBox"/>
                        </w:pPr>
                        <w:r>
                          <w:t>This deadline relief begins on March 1, 2020, and goes until 60 days after the end of the COVID-19 National Emergency</w:t>
                        </w:r>
                        <w:r w:rsidRPr="00A47C53">
                          <w:t xml:space="preserve">. </w:t>
                        </w:r>
                      </w:p>
                    </w:txbxContent>
                  </v:textbox>
                </v:shape>
              </v:group>
            </w:pict>
          </mc:Fallback>
        </mc:AlternateContent>
      </w:r>
      <w:r w:rsidR="008F7B15">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margin">
                  <wp:posOffset>6074410</wp:posOffset>
                </wp:positionV>
                <wp:extent cx="4409440" cy="53848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09440" cy="538480"/>
                        </a:xfrm>
                        <a:prstGeom prst="rect">
                          <a:avLst/>
                        </a:prstGeom>
                        <a:noFill/>
                        <a:ln w="6350">
                          <a:noFill/>
                        </a:ln>
                        <a:effectLst/>
                      </wps:spPr>
                      <wps:txbx>
                        <w:txbxContent>
                          <w:p w:rsidR="008F7B15" w:rsidRPr="008864AB" w:rsidP="008F7B15">
                            <w:pPr>
                              <w:pStyle w:val="Header"/>
                              <w:rPr>
                                <w:sz w:val="20"/>
                                <w:szCs w:val="20"/>
                              </w:rPr>
                            </w:pPr>
                            <w:r w:rsidRPr="008864AB">
                              <w:rPr>
                                <w:color w:val="595959" w:themeColor="text1" w:themeTint="A6"/>
                                <w:sz w:val="20"/>
                                <w:szCs w:val="20"/>
                              </w:rPr>
                              <w:t xml:space="preserve">Provided to you by </w:t>
                            </w:r>
                            <w:r w:rsidRPr="008864AB">
                              <w:rPr>
                                <w:b/>
                                <w:color w:val="5083C9"/>
                                <w:sz w:val="20"/>
                                <w:szCs w:val="20"/>
                              </w:rPr>
                              <w:t>Foa &amp; Son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width:347.2pt;height:42.4pt;margin-top:478.3pt;margin-left:0;mso-height-percent:0;mso-height-relative:margin;mso-position-horizontal:right;mso-position-horizontal-relative:margin;mso-position-vertical-relative:margin;mso-width-percent:0;mso-width-relative:margin;mso-wrap-distance-bottom:0;mso-wrap-distance-left:9pt;mso-wrap-distance-right:9pt;mso-wrap-distance-top:0;position:absolute;v-text-anchor:top;z-index:251663360" filled="f" fillcolor="this" stroked="f" strokeweight="0.5pt">
                <v:textbox>
                  <w:txbxContent>
                    <w:p w:rsidR="008F7B15" w:rsidRPr="008864AB" w:rsidP="008F7B15">
                      <w:pPr>
                        <w:pStyle w:val="Header"/>
                        <w:rPr>
                          <w:sz w:val="20"/>
                          <w:szCs w:val="20"/>
                        </w:rPr>
                      </w:pPr>
                      <w:r w:rsidRPr="008864AB">
                        <w:rPr>
                          <w:color w:val="595959" w:themeColor="text1" w:themeTint="A6"/>
                          <w:sz w:val="20"/>
                          <w:szCs w:val="20"/>
                        </w:rPr>
                        <w:t xml:space="preserve">Provided to you by </w:t>
                      </w:r>
                      <w:r w:rsidRPr="008864AB">
                        <w:rPr>
                          <w:b/>
                          <w:color w:val="5083C9"/>
                          <w:sz w:val="20"/>
                          <w:szCs w:val="20"/>
                        </w:rPr>
                        <w:t>Foa &amp; Son</w:t>
                      </w:r>
                    </w:p>
                  </w:txbxContent>
                </v:textbox>
                <w10:wrap anchorx="margin" anchory="margin"/>
              </v:shape>
            </w:pict>
          </mc:Fallback>
        </mc:AlternateContent>
      </w:r>
      <w:r w:rsidRPr="008A7E71" w:rsidR="008A7E71">
        <w:t xml:space="preserve"> </w:t>
      </w:r>
    </w:p>
    <w:sectPr w:rsidSect="008A7E71">
      <w:headerReference w:type="default" r:id="rId7"/>
      <w:footerReference w:type="default" r:id="rId8"/>
      <w:pgSz w:w="12240" w:h="15840"/>
      <w:pgMar w:top="3946" w:right="468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-53340</wp:posOffset>
              </wp:positionH>
              <wp:positionV relativeFrom="paragraph">
                <wp:posOffset>-294005</wp:posOffset>
              </wp:positionV>
              <wp:extent cx="4732020" cy="556260"/>
              <wp:effectExtent l="0" t="0" r="0" b="0"/>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32020" cy="556260"/>
                      </a:xfrm>
                      <a:prstGeom prst="rect">
                        <a:avLst/>
                      </a:prstGeom>
                      <a:noFill/>
                      <a:ln w="6350">
                        <a:noFill/>
                      </a:ln>
                      <a:effectLst/>
                    </wps:spPr>
                    <wps:txbx>
                      <w:txbxContent>
                        <w:p w:rsidR="00796AD3" w:rsidRPr="00817EEE" w:rsidP="00796AD3">
                          <w:pPr>
                            <w:pStyle w:val="Disclaimer"/>
                          </w:pPr>
                          <w:r w:rsidRPr="00947E11">
                            <w:rPr>
                              <w:szCs w:val="16"/>
                            </w:rPr>
                            <w:t xml:space="preserve">This </w:t>
                          </w:r>
                          <w:r>
                            <w:rPr>
                              <w:szCs w:val="16"/>
                            </w:rPr>
                            <w:t>Legal Update</w:t>
                          </w:r>
                          <w:r w:rsidRPr="00947E11">
                            <w:rPr>
                              <w:szCs w:val="16"/>
                            </w:rPr>
                            <w:t xml:space="preserve"> is not intended to be exhaustive nor should any discussion or </w:t>
                          </w:r>
                          <w:r w:rsidR="008864AB">
                            <w:rPr>
                              <w:szCs w:val="16"/>
                            </w:rPr>
                            <w:t>o</w:t>
                          </w:r>
                          <w:r w:rsidRPr="00947E11">
                            <w:rPr>
                              <w:szCs w:val="16"/>
                            </w:rPr>
                            <w:t xml:space="preserve">pinions be construed as legal advice. Readers should contact </w:t>
                          </w:r>
                          <w:r>
                            <w:rPr>
                              <w:szCs w:val="16"/>
                            </w:rPr>
                            <w:t xml:space="preserve">legal counsel for legal advice. </w:t>
                          </w:r>
                          <w:r w:rsidR="008607E3">
                            <w:rPr>
                              <w:szCs w:val="16"/>
                            </w:rPr>
                            <w:t xml:space="preserve">Design </w:t>
                          </w:r>
                          <w:r w:rsidRPr="00817EEE">
                            <w:t>©20</w:t>
                          </w:r>
                          <w:r w:rsidR="001A7A5C">
                            <w:t>20</w:t>
                          </w:r>
                          <w:r>
                            <w:t xml:space="preserve"> </w:t>
                          </w:r>
                          <w:r w:rsidRPr="00817EEE">
                            <w:t>Zywave, Inc.</w:t>
                          </w:r>
                          <w:r>
                            <w:t xml:space="preserve"> </w:t>
                          </w:r>
                          <w:r w:rsidRPr="00817EEE">
                            <w:t>All rights reserved.</w:t>
                          </w:r>
                        </w:p>
                        <w:p w:rsidR="00796AD3" w:rsidRPr="00947E11" w:rsidP="00796AD3">
                          <w:pPr>
                            <w:pStyle w:val="Disclaimer"/>
                            <w:rPr>
                              <w:szCs w:val="16"/>
                            </w:rPr>
                          </w:pPr>
                        </w:p>
                        <w:p w:rsidR="00796AD3" w:rsidRPr="00947E11" w:rsidP="00796AD3">
                          <w:pPr>
                            <w:pStyle w:val="Disclaimer"/>
                            <w:rPr>
                              <w:szCs w:val="16"/>
                            </w:rPr>
                          </w:pPr>
                        </w:p>
                        <w:p w:rsidR="008F7B15" w:rsidRPr="00947E11"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2050" type="#_x0000_t202" style="width:372.6pt;height:43.8pt;margin-top:-23.15pt;margin-left:-4.2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796AD3" w:rsidRPr="00817EEE" w:rsidP="00796AD3">
                    <w:pPr>
                      <w:pStyle w:val="Disclaimer"/>
                    </w:pPr>
                    <w:r w:rsidRPr="00947E11">
                      <w:rPr>
                        <w:szCs w:val="16"/>
                      </w:rPr>
                      <w:t xml:space="preserve">This </w:t>
                    </w:r>
                    <w:r>
                      <w:rPr>
                        <w:szCs w:val="16"/>
                      </w:rPr>
                      <w:t>Legal Update</w:t>
                    </w:r>
                    <w:r w:rsidRPr="00947E11">
                      <w:rPr>
                        <w:szCs w:val="16"/>
                      </w:rPr>
                      <w:t xml:space="preserve"> is not intended to be exhaustive nor should any discussion or </w:t>
                    </w:r>
                    <w:r w:rsidR="008864AB">
                      <w:rPr>
                        <w:szCs w:val="16"/>
                      </w:rPr>
                      <w:t>o</w:t>
                    </w:r>
                    <w:r w:rsidRPr="00947E11">
                      <w:rPr>
                        <w:szCs w:val="16"/>
                      </w:rPr>
                      <w:t xml:space="preserve">pinions be construed as legal advice. Readers should contact </w:t>
                    </w:r>
                    <w:r>
                      <w:rPr>
                        <w:szCs w:val="16"/>
                      </w:rPr>
                      <w:t xml:space="preserve">legal counsel for legal advice. </w:t>
                    </w:r>
                    <w:r w:rsidR="008607E3">
                      <w:rPr>
                        <w:szCs w:val="16"/>
                      </w:rPr>
                      <w:t xml:space="preserve">Design </w:t>
                    </w:r>
                    <w:r w:rsidRPr="00817EEE">
                      <w:t>©20</w:t>
                    </w:r>
                    <w:r w:rsidR="001A7A5C">
                      <w:t>20</w:t>
                    </w:r>
                    <w:r>
                      <w:t xml:space="preserve"> </w:t>
                    </w:r>
                    <w:r w:rsidRPr="00817EEE">
                      <w:t>Zywave, Inc.</w:t>
                    </w:r>
                    <w:r>
                      <w:t xml:space="preserve"> </w:t>
                    </w:r>
                    <w:r w:rsidRPr="00817EEE">
                      <w:t>All rights reserved.</w:t>
                    </w:r>
                  </w:p>
                  <w:p w:rsidR="00796AD3" w:rsidRPr="00947E11" w:rsidP="00796AD3">
                    <w:pPr>
                      <w:pStyle w:val="Disclaimer"/>
                      <w:rPr>
                        <w:szCs w:val="16"/>
                      </w:rPr>
                    </w:pPr>
                  </w:p>
                  <w:p w:rsidR="00796AD3" w:rsidRPr="00947E11" w:rsidP="00796AD3">
                    <w:pPr>
                      <w:pStyle w:val="Disclaimer"/>
                      <w:rPr>
                        <w:szCs w:val="16"/>
                      </w:rPr>
                    </w:pPr>
                  </w:p>
                  <w:p w:rsidR="008F7B15" w:rsidRPr="00947E11" w:rsidP="008F7B15">
                    <w:pPr>
                      <w:pStyle w:val="Disclaimer"/>
                      <w:rPr>
                        <w:szCs w:val="16"/>
                      </w:rPr>
                    </w:pPr>
                  </w:p>
                </w:txbxContent>
              </v:textbox>
              <w10:wrap anchorx="margin"/>
            </v:shape>
          </w:pict>
        </mc:Fallback>
      </mc:AlternateContent>
    </w:r>
    <w:r w:rsidR="00A65FD8">
      <w:rPr>
        <w:noProof/>
      </w:rPr>
      <mc:AlternateContent>
        <mc:Choice Requires="wps">
          <w:drawing>
            <wp:anchor distT="0" distB="0" distL="114300" distR="114300" simplePos="0" relativeHeight="251662336" behindDoc="0" locked="0" layoutInCell="1" allowOverlap="1">
              <wp:simplePos x="0" y="0"/>
              <wp:positionH relativeFrom="margin">
                <wp:posOffset>7620</wp:posOffset>
              </wp:positionH>
              <wp:positionV relativeFrom="margin">
                <wp:posOffset>6043930</wp:posOffset>
              </wp:positionV>
              <wp:extent cx="4366260" cy="0"/>
              <wp:effectExtent l="19050" t="19050" r="15240" b="19050"/>
              <wp:wrapNone/>
              <wp:docPr id="2122091233"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4366260" cy="0"/>
                      </a:xfrm>
                      <a:prstGeom prst="line">
                        <a:avLst/>
                      </a:prstGeom>
                      <a:ln w="44450">
                        <a:solidFill>
                          <a:schemeClr val="accent1">
                            <a:alpha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3360" from="0.6pt,475.9pt" to="344.4pt,475.9pt" strokecolor="#4472c4" strokeweight="3.5pt">
              <v:stroke joinstyle="miter" opacity="49087f"/>
              <w10:wrap anchorx="margin" anchory="margin"/>
            </v:line>
          </w:pict>
        </mc:Fallback>
      </mc:AlternateContent>
    </w:r>
    <w:r w:rsidR="0098636D">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99085"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-467360</wp:posOffset>
          </wp:positionV>
          <wp:extent cx="7772397" cy="3856498"/>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7" cy="3856498"/>
                  </a:xfrm>
                  <a:prstGeom prst="rect">
                    <a:avLst/>
                  </a:prstGeom>
                </pic:spPr>
              </pic:pic>
            </a:graphicData>
          </a:graphic>
          <wp14:sizeRelH relativeFrom="page">
            <wp14:pctWidth>0</wp14:pctWidth>
          </wp14:sizeRelH>
          <wp14:sizeRelV relativeFrom="page">
            <wp14:pctHeight>0</wp14:pctHeight>
          </wp14:sizeRelV>
        </wp:anchor>
      </w:drawing>
    </w:r>
    <w:r w:rsidR="00D35AF9">
      <w:rPr>
        <w:noProof/>
      </w:rPr>
      <mc:AlternateContent>
        <mc:Choice Requires="wps">
          <w:drawing>
            <wp:anchor distT="45720" distB="45720" distL="114300" distR="114300" simplePos="0" relativeHeight="251664384" behindDoc="0" locked="0" layoutInCell="1" allowOverlap="1">
              <wp:simplePos x="0" y="0"/>
              <wp:positionH relativeFrom="column">
                <wp:posOffset>4572000</wp:posOffset>
              </wp:positionH>
              <wp:positionV relativeFrom="page">
                <wp:posOffset>2550160</wp:posOffset>
              </wp:positionV>
              <wp:extent cx="2413000" cy="329565"/>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0" cy="329565"/>
                      </a:xfrm>
                      <a:prstGeom prst="rect">
                        <a:avLst/>
                      </a:prstGeom>
                      <a:noFill/>
                      <a:ln w="9525">
                        <a:noFill/>
                        <a:miter lim="800000"/>
                        <a:headEnd/>
                        <a:tailEnd/>
                      </a:ln>
                    </wps:spPr>
                    <wps:txbx>
                      <w:txbxContent>
                        <w:p w:rsidR="00D35AF9" w:rsidRPr="00D35AF9" w:rsidP="00D35AF9">
                          <w:pPr>
                            <w:pStyle w:val="SubHeader"/>
                            <w:rPr>
                              <w:color w:val="FFFFFF" w:themeColor="background1"/>
                              <w:sz w:val="32"/>
                              <w:szCs w:val="32"/>
                            </w:rPr>
                          </w:pPr>
                          <w:r>
                            <w:rPr>
                              <w:color w:val="FFFFFF" w:themeColor="background1"/>
                              <w:sz w:val="32"/>
                              <w:szCs w:val="32"/>
                            </w:rPr>
                            <w:t>Important Dates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90pt;height:25.95pt;margin-top:200.8pt;margin-left:5in;mso-height-percent:0;mso-height-relative:margin;mso-position-vertical-relative:page;mso-width-percent:0;mso-width-relative:margin;mso-wrap-distance-bottom:3.6pt;mso-wrap-distance-left:9pt;mso-wrap-distance-right:9pt;mso-wrap-distance-top:3.6pt;mso-wrap-style:square;position:absolute;visibility:visible;v-text-anchor:top;z-index:251665408" filled="f" stroked="f">
              <v:textbox>
                <w:txbxContent>
                  <w:p w:rsidR="00D35AF9" w:rsidRPr="00D35AF9" w:rsidP="00D35AF9">
                    <w:pPr>
                      <w:pStyle w:val="SubHeader"/>
                      <w:rPr>
                        <w:color w:val="FFFFFF" w:themeColor="background1"/>
                        <w:sz w:val="32"/>
                        <w:szCs w:val="32"/>
                      </w:rPr>
                    </w:pPr>
                    <w:r>
                      <w:rPr>
                        <w:color w:val="FFFFFF" w:themeColor="background1"/>
                        <w:sz w:val="32"/>
                        <w:szCs w:val="32"/>
                      </w:rPr>
                      <w:t>Important Dates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E95063"/>
    <w:multiLevelType w:val="hybridMultilevel"/>
    <w:tmpl w:val="0CE2A7C2"/>
    <w:lvl w:ilvl="0">
      <w:start w:val="1"/>
      <w:numFmt w:val="bullet"/>
      <w:pStyle w:val="BulletLis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270686"/>
    <w:multiLevelType w:val="hybridMultilevel"/>
    <w:tmpl w:val="409AC006"/>
    <w:lvl w:ilvl="0">
      <w:start w:val="1"/>
      <w:numFmt w:val="bullet"/>
      <w:pStyle w:val="Checkbox"/>
      <w:lvlText w:val=""/>
      <w:lvlJc w:val="left"/>
      <w:pPr>
        <w:ind w:left="540" w:hanging="360"/>
      </w:pPr>
      <w:rPr>
        <w:rFonts w:ascii="Wingdings" w:hAnsi="Wingdings" w:hint="default"/>
        <w:color w:val="5083C9"/>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0E1D8C"/>
    <w:multiLevelType w:val="hybridMultilevel"/>
    <w:tmpl w:val="796CB146"/>
    <w:lvl w:ilvl="0">
      <w:start w:val="1"/>
      <w:numFmt w:val="bullet"/>
      <w:pStyle w:val="Bullet"/>
      <w:lvlText w:val=""/>
      <w:lvlJc w:val="left"/>
      <w:pPr>
        <w:ind w:left="72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493AD4"/>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E"/>
    <w:rsid w:val="00001C17"/>
    <w:rsid w:val="0003363E"/>
    <w:rsid w:val="001050A8"/>
    <w:rsid w:val="0012162D"/>
    <w:rsid w:val="001631A4"/>
    <w:rsid w:val="001725D9"/>
    <w:rsid w:val="001963A5"/>
    <w:rsid w:val="001A7A5C"/>
    <w:rsid w:val="001B1A7E"/>
    <w:rsid w:val="001B41D5"/>
    <w:rsid w:val="0022430C"/>
    <w:rsid w:val="0024208C"/>
    <w:rsid w:val="0026000D"/>
    <w:rsid w:val="002B61D1"/>
    <w:rsid w:val="002F786C"/>
    <w:rsid w:val="003267EB"/>
    <w:rsid w:val="003A6B72"/>
    <w:rsid w:val="00432EFE"/>
    <w:rsid w:val="0048508B"/>
    <w:rsid w:val="00485C3A"/>
    <w:rsid w:val="004967FA"/>
    <w:rsid w:val="004B125C"/>
    <w:rsid w:val="004D34B3"/>
    <w:rsid w:val="00553216"/>
    <w:rsid w:val="00584B55"/>
    <w:rsid w:val="005D05D9"/>
    <w:rsid w:val="006A2A41"/>
    <w:rsid w:val="00707343"/>
    <w:rsid w:val="00770406"/>
    <w:rsid w:val="00796AD3"/>
    <w:rsid w:val="00802FF0"/>
    <w:rsid w:val="00817EEE"/>
    <w:rsid w:val="00855DD7"/>
    <w:rsid w:val="00856044"/>
    <w:rsid w:val="008607E3"/>
    <w:rsid w:val="00871E9E"/>
    <w:rsid w:val="008864AB"/>
    <w:rsid w:val="008A7E71"/>
    <w:rsid w:val="008F7B15"/>
    <w:rsid w:val="00926535"/>
    <w:rsid w:val="009440BA"/>
    <w:rsid w:val="00947E11"/>
    <w:rsid w:val="00956104"/>
    <w:rsid w:val="0098636D"/>
    <w:rsid w:val="00993033"/>
    <w:rsid w:val="009D4BB6"/>
    <w:rsid w:val="009E2B6A"/>
    <w:rsid w:val="009E4DC9"/>
    <w:rsid w:val="00A337BD"/>
    <w:rsid w:val="00A47C53"/>
    <w:rsid w:val="00A65FD8"/>
    <w:rsid w:val="00AB3085"/>
    <w:rsid w:val="00AD0649"/>
    <w:rsid w:val="00BA7D47"/>
    <w:rsid w:val="00BB2751"/>
    <w:rsid w:val="00BE45C1"/>
    <w:rsid w:val="00C741AE"/>
    <w:rsid w:val="00CA6AD1"/>
    <w:rsid w:val="00CF5E21"/>
    <w:rsid w:val="00D2167C"/>
    <w:rsid w:val="00D35AF9"/>
    <w:rsid w:val="00D379D5"/>
    <w:rsid w:val="00D76FCB"/>
    <w:rsid w:val="00DA43BE"/>
    <w:rsid w:val="00DC3880"/>
    <w:rsid w:val="00DD1268"/>
    <w:rsid w:val="00E16E6C"/>
    <w:rsid w:val="00E26E72"/>
    <w:rsid w:val="00E378E3"/>
    <w:rsid w:val="00E64D05"/>
    <w:rsid w:val="00E73236"/>
    <w:rsid w:val="00E858AF"/>
    <w:rsid w:val="00EB4C69"/>
    <w:rsid w:val="00EC2053"/>
    <w:rsid w:val="00F32D2D"/>
    <w:rsid w:val="00F32F5A"/>
    <w:rsid w:val="00F62980"/>
    <w:rsid w:val="00FA6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17CAB27-19BC-4528-8FDC-58AA6617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8A7E71"/>
    <w:pPr>
      <w:spacing w:after="120" w:line="228" w:lineRule="auto"/>
    </w:pPr>
    <w:rPr>
      <w:b/>
      <w:color w:val="5083C9"/>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8A7E71"/>
    <w:rPr>
      <w:b/>
      <w:color w:val="5083C9"/>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2B61D1"/>
    <w:pPr>
      <w:spacing w:after="0" w:line="216" w:lineRule="auto"/>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2B61D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E16E6C"/>
    <w:pPr>
      <w:numPr>
        <w:numId w:val="3"/>
      </w:numPr>
      <w:tabs>
        <w:tab w:val="left" w:pos="540"/>
      </w:tabs>
      <w:ind w:hanging="450"/>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E16E6C"/>
    <w:rPr>
      <w:rFonts w:ascii="Calibri" w:eastAsia="Times New Roman" w:hAnsi="Calibri" w:cs="Arial"/>
      <w:color w:val="595959"/>
      <w:szCs w:val="20"/>
    </w:rPr>
  </w:style>
  <w:style w:type="paragraph" w:customStyle="1" w:styleId="CallOutBox">
    <w:name w:val="Call Out Box"/>
    <w:basedOn w:val="Footer"/>
    <w:link w:val="CallOutBoxChar"/>
    <w:qFormat/>
    <w:rsid w:val="00CF5E21"/>
    <w:pPr>
      <w:jc w:val="center"/>
    </w:pPr>
    <w:rPr>
      <w:b/>
      <w:i/>
      <w:color w:val="5083C9"/>
      <w:sz w:val="36"/>
      <w:szCs w:val="36"/>
    </w:rPr>
  </w:style>
  <w:style w:type="character" w:customStyle="1" w:styleId="XboxChar">
    <w:name w:val="Xbox Char"/>
    <w:basedOn w:val="CheckboxChar"/>
    <w:link w:val="Xbox"/>
    <w:rsid w:val="00E16E6C"/>
    <w:rPr>
      <w:rFonts w:ascii="Calibri" w:eastAsia="Times New Roman" w:hAnsi="Calibri" w:cs="Arial"/>
      <w:color w:val="595959"/>
      <w:szCs w:val="20"/>
    </w:rPr>
  </w:style>
  <w:style w:type="character" w:customStyle="1" w:styleId="CallOutBoxChar">
    <w:name w:val="Call Out Box Char"/>
    <w:basedOn w:val="FooterChar"/>
    <w:link w:val="CallOutBox"/>
    <w:rsid w:val="00CF5E21"/>
    <w:rPr>
      <w:b/>
      <w:i/>
      <w:color w:val="5083C9"/>
      <w:sz w:val="36"/>
      <w:szCs w:val="36"/>
    </w:rPr>
  </w:style>
  <w:style w:type="numbering" w:customStyle="1" w:styleId="BulletedList">
    <w:name w:val="Bulleted List"/>
    <w:uiPriority w:val="99"/>
    <w:rsid w:val="00DD1268"/>
    <w:pPr>
      <w:numPr>
        <w:numId w:val="5"/>
      </w:numPr>
    </w:pPr>
  </w:style>
  <w:style w:type="paragraph" w:customStyle="1" w:styleId="Bullet">
    <w:name w:val="Bullet"/>
    <w:basedOn w:val="BodyText"/>
    <w:link w:val="BulletChar"/>
    <w:qFormat/>
    <w:rsid w:val="00FA6666"/>
    <w:pPr>
      <w:numPr>
        <w:numId w:val="7"/>
      </w:numPr>
      <w:spacing w:after="0"/>
    </w:pPr>
  </w:style>
  <w:style w:type="character" w:customStyle="1" w:styleId="BulletChar">
    <w:name w:val="Bullet Char"/>
    <w:basedOn w:val="BodyTextChar"/>
    <w:link w:val="Bullet"/>
    <w:rsid w:val="00FA6666"/>
    <w:rPr>
      <w:rFonts w:ascii="Calibri" w:eastAsia="Times New Roman" w:hAnsi="Calibri" w:cs="Arial"/>
      <w:color w:val="595959"/>
      <w:szCs w:val="20"/>
    </w:rPr>
  </w:style>
  <w:style w:type="character" w:styleId="Hyperlink">
    <w:name w:val="Hyperlink"/>
    <w:basedOn w:val="DefaultParagraphFont"/>
    <w:uiPriority w:val="99"/>
    <w:unhideWhenUsed/>
    <w:rsid w:val="00BB2751"/>
    <w:rPr>
      <w:color w:val="0563C1" w:themeColor="hyperlink"/>
      <w:u w:val="single"/>
    </w:rPr>
  </w:style>
  <w:style w:type="character" w:customStyle="1" w:styleId="UnresolvedMention">
    <w:name w:val="Unresolved Mention"/>
    <w:basedOn w:val="DefaultParagraphFont"/>
    <w:uiPriority w:val="99"/>
    <w:semiHidden/>
    <w:unhideWhenUsed/>
    <w:rsid w:val="00BB2751"/>
    <w:rPr>
      <w:color w:val="605E5C"/>
      <w:shd w:val="clear" w:color="auto" w:fill="E1DFDD"/>
    </w:rPr>
  </w:style>
  <w:style w:type="character" w:styleId="FollowedHyperlink">
    <w:name w:val="FollowedHyperlink"/>
    <w:basedOn w:val="DefaultParagraphFont"/>
    <w:uiPriority w:val="99"/>
    <w:semiHidden/>
    <w:unhideWhenUsed/>
    <w:rsid w:val="00DA4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ontent%20Development\MASTER%20TEMPLATES\Legal%20Content\2020%20Compliance%20Docs%20Redesign\Legal%20Update\EB_%20Legal%20Upd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EB_ Legal Update</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Margerie, Erin</dc:creator>
  <cp:lastModifiedBy>Margerie, Erin</cp:lastModifiedBy>
  <cp:revision>2</cp:revision>
  <dcterms:created xsi:type="dcterms:W3CDTF">2020-05-04T19:39:00Z</dcterms:created>
  <dcterms:modified xsi:type="dcterms:W3CDTF">2020-05-04T19:39:00Z</dcterms:modified>
</cp:coreProperties>
</file>